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  <w:u w:val="single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u w:val="single"/>
        </w:rPr>
        <w:t>PA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u w:val="single"/>
          <w:cs/>
        </w:rPr>
        <w:t>ปี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u w:val="single"/>
        </w:rPr>
        <w:t>2560</w:t>
      </w:r>
      <w:proofErr w:type="gramStart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u w:val="single"/>
        </w:rPr>
        <w:t>  </w:t>
      </w:r>
      <w:proofErr w:type="spellStart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u w:val="single"/>
          <w:cs/>
        </w:rPr>
        <w:t>รมว</w:t>
      </w:r>
      <w:r>
        <w:rPr>
          <w:rFonts w:ascii="TH SarabunIT๙" w:eastAsia="Times New Roman" w:hAnsi="TH SarabunIT๙" w:cs="TH SarabunIT๙" w:hint="cs"/>
          <w:color w:val="222222"/>
          <w:sz w:val="32"/>
          <w:szCs w:val="32"/>
          <w:u w:val="single"/>
          <w:cs/>
        </w:rPr>
        <w:t>.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u w:val="single"/>
          <w:cs/>
        </w:rPr>
        <w:t>สธ</w:t>
      </w:r>
      <w:proofErr w:type="spellEnd"/>
      <w:proofErr w:type="gramEnd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u w:val="single"/>
        </w:rPr>
        <w:t>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u w:val="single"/>
          <w:cs/>
        </w:rPr>
        <w:t>กับ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u w:val="single"/>
        </w:rPr>
        <w:t>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u w:val="single"/>
          <w:cs/>
        </w:rPr>
        <w:t>ปลัด</w:t>
      </w:r>
      <w:r>
        <w:rPr>
          <w:rFonts w:ascii="TH SarabunIT๙" w:eastAsia="Times New Roman" w:hAnsi="TH SarabunIT๙" w:cs="TH SarabunIT๙" w:hint="cs"/>
          <w:color w:val="222222"/>
          <w:sz w:val="32"/>
          <w:szCs w:val="32"/>
          <w:u w:val="single"/>
          <w:cs/>
        </w:rPr>
        <w:t xml:space="preserve"> </w:t>
      </w:r>
      <w:proofErr w:type="spellStart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u w:val="single"/>
          <w:cs/>
        </w:rPr>
        <w:t>สธ</w:t>
      </w:r>
      <w:proofErr w:type="spellEnd"/>
      <w:r>
        <w:rPr>
          <w:rFonts w:ascii="TH SarabunIT๙" w:eastAsia="Times New Roman" w:hAnsi="TH SarabunIT๙" w:cs="TH SarabunIT๙"/>
          <w:color w:val="222222"/>
          <w:sz w:val="32"/>
          <w:szCs w:val="32"/>
          <w:u w:val="single"/>
        </w:rPr>
        <w:t>.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1. PP Excellent </w:t>
      </w:r>
      <w:bookmarkStart w:id="0" w:name="_GoBack"/>
      <w:bookmarkEnd w:id="0"/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         1.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การส่งเสริมสุขภาพทุกกลุ่มวัย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.  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                     1.1.</w:t>
      </w:r>
      <w:proofErr w:type="gramStart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ดูแลพัฒนาการเด็ก</w:t>
      </w:r>
      <w:proofErr w:type="gramEnd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0-5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ปี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                     1.2.</w:t>
      </w:r>
      <w:proofErr w:type="gramStart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ดูแล</w:t>
      </w:r>
      <w:proofErr w:type="gramEnd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LTC.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ในผู้สูงอายุ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         2.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การป้องกันควบคุมโรค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                       2.1.</w:t>
      </w:r>
      <w:proofErr w:type="gramStart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โรคติดต่อ</w:t>
      </w:r>
      <w:proofErr w:type="gramEnd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.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ตามยุทธศาสตร์โรคอุบัติใหม่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และควบคุม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TB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                       2.2. 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โรคไม่ติดต่อ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NCD.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ตามยุทธศาสตร์สุขภาพดีวิถีไทย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.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เป้าหมายที่อาหาร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.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ออกกำลังกาย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อ้วน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.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ภัยอื่นๆเช่น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RTI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         3. 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ควบคุมปัจจัยเสี่ยง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.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คุ้มครองผู้บริโภค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                       3.1.    Food Safety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         4. 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การดูแลสิ่งแวดล้อม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                       4.1.   Green and Clean Hospital.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เตรียมรองรับ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100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ปีการสาธารณสุขไทย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2. Service Excellent 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         5.   PCC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คลินิกหมอครอบครัว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         6.   Service Plan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                       6.1. 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ลดตาย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โรค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STEMI.  </w:t>
      </w:r>
      <w:proofErr w:type="gramStart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Stroke.</w:t>
      </w:r>
      <w:proofErr w:type="gramEnd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CA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                       6.2.</w:t>
      </w:r>
      <w:proofErr w:type="gramStart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ลดป่วย</w:t>
      </w:r>
      <w:proofErr w:type="gramEnd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โรค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. </w:t>
      </w:r>
      <w:proofErr w:type="gramStart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CKD.</w:t>
      </w:r>
      <w:proofErr w:type="gramEnd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CVD. OV/CCA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                       6.3. 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การใช้ยา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RDU/AMR/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ยาสมุนไพรไทย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         7.  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การพัฒนางานการแพทย์ฉุกเฉินครบวงจร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.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พัฒนา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ER.  EOC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         8.  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การพัฒนาคุณภาพสถานพยาบาล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. HA.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รพสต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.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ติดดาว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3. People Excellent 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         9.  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การพัฒนาบุคลากร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ให้มีค่านิยม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MOPH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4. Governance Excellent 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         10.   </w:t>
      </w:r>
      <w:proofErr w:type="spellStart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ธรรมาภิ</w:t>
      </w:r>
      <w:proofErr w:type="spellEnd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บาล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.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ไม่มีทุจริตคอ</w:t>
      </w:r>
      <w:proofErr w:type="spellStart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รับชั่น</w:t>
      </w:r>
      <w:proofErr w:type="spellEnd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. ITA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           11. 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ระบบข้อมูลข่าวสาร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.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ระบบเฝ้าระวัง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.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ระบบบริการ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.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ระบบสนับสนุน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           12. 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ระบบการเงิน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.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ไม่มีรพระดับ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7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           13. 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การศึกษาวิจัยผลิตนวัตกรรม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.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ประเทศไทย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4.0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           14. 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การพัฒนากฎหมายที่จำเป็น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                         14.1.</w:t>
      </w:r>
      <w:proofErr w:type="gramStart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การพัฒนากฎหมาย</w:t>
      </w:r>
      <w:proofErr w:type="gramEnd"/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                         14.2.</w:t>
      </w:r>
      <w:proofErr w:type="gramStart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การบังคับใช้กฎหมาย</w:t>
      </w:r>
      <w:proofErr w:type="gramEnd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เช่น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proofErr w:type="spellStart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พรบ</w:t>
      </w:r>
      <w:proofErr w:type="spellEnd"/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</w:rPr>
        <w:t>. </w:t>
      </w:r>
      <w:r w:rsidRPr="009E11B6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อำนวยความสะดวก</w:t>
      </w:r>
    </w:p>
    <w:p w:rsidR="009E11B6" w:rsidRPr="009E11B6" w:rsidRDefault="009E11B6" w:rsidP="009E11B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920D0E" w:rsidRPr="009E11B6" w:rsidRDefault="00920D0E" w:rsidP="009E11B6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920D0E" w:rsidRPr="009E1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B6"/>
    <w:rsid w:val="00920D0E"/>
    <w:rsid w:val="009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1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9E1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1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9E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pongsai</dc:creator>
  <cp:lastModifiedBy>pongsai</cp:lastModifiedBy>
  <cp:revision>1</cp:revision>
  <dcterms:created xsi:type="dcterms:W3CDTF">2016-09-23T09:12:00Z</dcterms:created>
  <dcterms:modified xsi:type="dcterms:W3CDTF">2016-09-23T09:13:00Z</dcterms:modified>
</cp:coreProperties>
</file>